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B110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68743A" wp14:editId="5C3FBB7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C17E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779A558"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 xml:space="preserve">Click here to enter a </w:t>
          </w:r>
          <w:proofErr w:type="gramStart"/>
          <w:r w:rsidR="001E3DFA" w:rsidRPr="006507A1">
            <w:rPr>
              <w:rStyle w:val="PlaceholderText"/>
            </w:rPr>
            <w:t>date.</w:t>
          </w:r>
          <w:proofErr w:type="gramEnd"/>
        </w:sdtContent>
      </w:sdt>
    </w:p>
    <w:p w14:paraId="20C8EC59" w14:textId="77777777" w:rsidR="00EF3EDC" w:rsidRDefault="00EF3EDC" w:rsidP="00E648FD">
      <w:pPr>
        <w:spacing w:line="240" w:lineRule="auto"/>
        <w:ind w:right="-720"/>
        <w:contextualSpacing/>
        <w:rPr>
          <w:rFonts w:ascii="Arial" w:hAnsi="Arial" w:cs="Arial"/>
          <w:color w:val="000000" w:themeColor="text1"/>
          <w:sz w:val="20"/>
        </w:rPr>
      </w:pPr>
    </w:p>
    <w:p w14:paraId="571FE1D4"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667917">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7D277780" w14:textId="5D7B718B" w:rsidR="00165E9D" w:rsidRPr="00165E9D" w:rsidRDefault="006F4E03" w:rsidP="00165E9D">
      <w:pPr>
        <w:pStyle w:val="ListParagraph"/>
        <w:numPr>
          <w:ilvl w:val="0"/>
          <w:numId w:val="1"/>
        </w:numPr>
        <w:spacing w:line="240" w:lineRule="auto"/>
        <w:ind w:right="-720"/>
        <w:rPr>
          <w:rFonts w:ascii="Arial" w:hAnsi="Arial" w:cs="Arial"/>
          <w:color w:val="000000" w:themeColor="text1"/>
          <w:sz w:val="20"/>
          <w:szCs w:val="20"/>
        </w:rPr>
      </w:pPr>
      <w:r w:rsidRPr="006F4E03">
        <w:rPr>
          <w:rFonts w:ascii="Arial" w:hAnsi="Arial" w:cs="Arial"/>
          <w:sz w:val="20"/>
          <w:szCs w:val="20"/>
        </w:rPr>
        <w:t xml:space="preserve">Determined energy performance improvement </w:t>
      </w:r>
    </w:p>
    <w:p w14:paraId="6E206282" w14:textId="77777777" w:rsidR="00165E9D" w:rsidRDefault="00165E9D" w:rsidP="00165E9D">
      <w:pPr>
        <w:spacing w:line="240" w:lineRule="auto"/>
        <w:ind w:right="-720"/>
        <w:rPr>
          <w:rFonts w:ascii="Arial" w:hAnsi="Arial" w:cs="Arial"/>
          <w:color w:val="000000" w:themeColor="text1"/>
          <w:sz w:val="20"/>
          <w:u w:val="single"/>
        </w:rPr>
      </w:pPr>
    </w:p>
    <w:p w14:paraId="6B6FFC8D" w14:textId="63BFC8AC" w:rsidR="00165E9D" w:rsidRDefault="00165E9D" w:rsidP="00165E9D">
      <w:pPr>
        <w:spacing w:line="240" w:lineRule="auto"/>
        <w:ind w:left="-810" w:right="-720"/>
        <w:rPr>
          <w:rFonts w:ascii="Arial" w:hAnsi="Arial" w:cs="Arial"/>
          <w:color w:val="000000" w:themeColor="text1"/>
          <w:sz w:val="20"/>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E71775">
        <w:rPr>
          <w:rFonts w:ascii="Arial" w:hAnsi="Arial" w:cs="Arial"/>
          <w:color w:val="000000" w:themeColor="text1"/>
          <w:sz w:val="20"/>
          <w:szCs w:val="20"/>
        </w:rPr>
      </w:r>
      <w:r w:rsidR="00E71775">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Pr>
          <w:rFonts w:ascii="Arial" w:hAnsi="Arial" w:cs="Arial"/>
          <w:color w:val="000000" w:themeColor="text1"/>
          <w:sz w:val="20"/>
        </w:rPr>
        <w:t>Our facility has shown a positive energy performance improvement against the baseline year, and results have been entered in the table below:</w:t>
      </w:r>
      <w:r w:rsidR="00BC0F00">
        <w:rPr>
          <w:rFonts w:ascii="Arial" w:hAnsi="Arial" w:cs="Arial"/>
          <w:color w:val="000000" w:themeColor="text1"/>
          <w:sz w:val="20"/>
        </w:rPr>
        <w:t xml:space="preserve">  Note:  Tracking SEU energy performance improvement is optional for 50001 Ready.</w:t>
      </w:r>
    </w:p>
    <w:p w14:paraId="423899A5" w14:textId="77777777" w:rsidR="00165E9D" w:rsidRDefault="00165E9D" w:rsidP="00165E9D">
      <w:pPr>
        <w:spacing w:line="240" w:lineRule="auto"/>
        <w:ind w:left="-810" w:right="-720"/>
        <w:rPr>
          <w:rFonts w:ascii="Arial" w:hAnsi="Arial" w:cs="Arial"/>
          <w:color w:val="000000" w:themeColor="text1"/>
          <w:sz w:val="20"/>
        </w:rPr>
      </w:pPr>
    </w:p>
    <w:tbl>
      <w:tblPr>
        <w:tblStyle w:val="TableGrid"/>
        <w:tblW w:w="8649" w:type="dxa"/>
        <w:tblInd w:w="347" w:type="dxa"/>
        <w:tblLook w:val="04A0" w:firstRow="1" w:lastRow="0" w:firstColumn="1" w:lastColumn="0" w:noHBand="0" w:noVBand="1"/>
      </w:tblPr>
      <w:tblGrid>
        <w:gridCol w:w="2810"/>
        <w:gridCol w:w="842"/>
        <w:gridCol w:w="983"/>
        <w:gridCol w:w="910"/>
        <w:gridCol w:w="931"/>
        <w:gridCol w:w="1141"/>
        <w:gridCol w:w="1032"/>
      </w:tblGrid>
      <w:tr w:rsidR="00165E9D" w:rsidRPr="0048062E" w14:paraId="1918A7EC" w14:textId="77777777" w:rsidTr="00165E9D">
        <w:tc>
          <w:tcPr>
            <w:tcW w:w="2848" w:type="dxa"/>
            <w:tcBorders>
              <w:top w:val="single" w:sz="4" w:space="0" w:color="auto"/>
              <w:left w:val="single" w:sz="4" w:space="0" w:color="auto"/>
              <w:bottom w:val="single" w:sz="4" w:space="0" w:color="auto"/>
              <w:right w:val="single" w:sz="4" w:space="0" w:color="auto"/>
            </w:tcBorders>
            <w:vAlign w:val="center"/>
            <w:hideMark/>
          </w:tcPr>
          <w:p w14:paraId="106B227D" w14:textId="77777777" w:rsidR="00165E9D" w:rsidRPr="00165E9D" w:rsidRDefault="00165E9D" w:rsidP="00165E9D">
            <w:pPr>
              <w:spacing w:beforeLines="40" w:before="96" w:afterLines="40" w:after="96" w:line="240" w:lineRule="auto"/>
              <w:jc w:val="center"/>
              <w:rPr>
                <w:rFonts w:ascii="Arial" w:hAnsi="Arial" w:cs="Arial"/>
                <w:sz w:val="20"/>
                <w:szCs w:val="20"/>
              </w:rPr>
            </w:pPr>
            <w:r w:rsidRPr="00165E9D">
              <w:rPr>
                <w:rFonts w:ascii="Arial" w:hAnsi="Arial" w:cs="Arial"/>
                <w:sz w:val="20"/>
                <w:szCs w:val="20"/>
              </w:rPr>
              <w:t>Calculate Energy Savings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916DD30" w14:textId="77777777" w:rsidR="00165E9D" w:rsidRPr="0048062E" w:rsidRDefault="00165E9D" w:rsidP="00165E9D">
            <w:pPr>
              <w:spacing w:beforeLines="40" w:before="96" w:afterLines="40" w:after="96" w:line="240" w:lineRule="auto"/>
              <w:jc w:val="center"/>
              <w:rPr>
                <w:rFonts w:ascii="Arial" w:hAnsi="Arial" w:cs="Arial"/>
                <w:sz w:val="16"/>
                <w:szCs w:val="16"/>
              </w:rPr>
            </w:pPr>
            <w:r>
              <w:rPr>
                <w:rFonts w:ascii="Arial" w:hAnsi="Arial" w:cs="Arial"/>
                <w:sz w:val="16"/>
                <w:szCs w:val="16"/>
              </w:rPr>
              <w:t>EnPI</w:t>
            </w:r>
          </w:p>
        </w:tc>
        <w:tc>
          <w:tcPr>
            <w:tcW w:w="986" w:type="dxa"/>
            <w:tcBorders>
              <w:top w:val="single" w:sz="4" w:space="0" w:color="auto"/>
              <w:left w:val="single" w:sz="4" w:space="0" w:color="auto"/>
              <w:bottom w:val="single" w:sz="4" w:space="0" w:color="auto"/>
              <w:right w:val="single" w:sz="4" w:space="0" w:color="auto"/>
            </w:tcBorders>
            <w:vAlign w:val="center"/>
          </w:tcPr>
          <w:p w14:paraId="7D307B16" w14:textId="0EA29AB6" w:rsidR="00165E9D" w:rsidRPr="0048062E" w:rsidRDefault="00165E9D" w:rsidP="00165E9D">
            <w:pPr>
              <w:spacing w:beforeLines="40" w:before="96" w:afterLines="40" w:after="96" w:line="240" w:lineRule="auto"/>
              <w:jc w:val="center"/>
              <w:rPr>
                <w:rFonts w:ascii="Arial" w:hAnsi="Arial" w:cs="Arial"/>
                <w:sz w:val="16"/>
                <w:szCs w:val="16"/>
              </w:rPr>
            </w:pPr>
            <w:r>
              <w:rPr>
                <w:rFonts w:ascii="Arial" w:hAnsi="Arial" w:cs="Arial"/>
                <w:sz w:val="16"/>
                <w:szCs w:val="16"/>
              </w:rPr>
              <w:t>Baseline</w:t>
            </w:r>
            <w:r w:rsidR="00BC0F00">
              <w:rPr>
                <w:rFonts w:ascii="Arial" w:hAnsi="Arial" w:cs="Arial"/>
                <w:sz w:val="16"/>
                <w:szCs w:val="16"/>
              </w:rPr>
              <w:t xml:space="preserve"> Year</w:t>
            </w:r>
          </w:p>
        </w:tc>
        <w:tc>
          <w:tcPr>
            <w:tcW w:w="845" w:type="dxa"/>
            <w:tcBorders>
              <w:top w:val="single" w:sz="4" w:space="0" w:color="auto"/>
              <w:left w:val="single" w:sz="4" w:space="0" w:color="auto"/>
              <w:bottom w:val="single" w:sz="4" w:space="0" w:color="auto"/>
              <w:right w:val="single" w:sz="4" w:space="0" w:color="auto"/>
            </w:tcBorders>
            <w:vAlign w:val="center"/>
          </w:tcPr>
          <w:p w14:paraId="47EEF68C" w14:textId="4F824CE5" w:rsidR="00165E9D" w:rsidRPr="0048062E" w:rsidRDefault="00BC0F00" w:rsidP="00165E9D">
            <w:pPr>
              <w:spacing w:beforeLines="40" w:before="96" w:afterLines="40" w:after="96" w:line="240" w:lineRule="auto"/>
              <w:jc w:val="center"/>
              <w:rPr>
                <w:rFonts w:ascii="Arial" w:hAnsi="Arial" w:cs="Arial"/>
                <w:sz w:val="16"/>
                <w:szCs w:val="16"/>
              </w:rPr>
            </w:pPr>
            <w:r>
              <w:rPr>
                <w:rFonts w:ascii="Arial" w:hAnsi="Arial" w:cs="Arial"/>
                <w:sz w:val="16"/>
                <w:szCs w:val="16"/>
              </w:rPr>
              <w:t>Reporting Year</w:t>
            </w:r>
          </w:p>
        </w:tc>
        <w:tc>
          <w:tcPr>
            <w:tcW w:w="934" w:type="dxa"/>
            <w:tcBorders>
              <w:top w:val="single" w:sz="4" w:space="0" w:color="auto"/>
              <w:left w:val="single" w:sz="4" w:space="0" w:color="auto"/>
              <w:bottom w:val="single" w:sz="4" w:space="0" w:color="auto"/>
              <w:right w:val="single" w:sz="4" w:space="0" w:color="auto"/>
            </w:tcBorders>
            <w:vAlign w:val="center"/>
          </w:tcPr>
          <w:p w14:paraId="357546EE" w14:textId="77777777" w:rsidR="00165E9D" w:rsidRPr="0048062E" w:rsidRDefault="00165E9D" w:rsidP="00165E9D">
            <w:pPr>
              <w:spacing w:beforeLines="40" w:before="96" w:afterLines="40" w:after="96" w:line="240" w:lineRule="auto"/>
              <w:jc w:val="center"/>
              <w:rPr>
                <w:rFonts w:ascii="Arial" w:hAnsi="Arial" w:cs="Arial"/>
                <w:sz w:val="16"/>
                <w:szCs w:val="16"/>
              </w:rPr>
            </w:pPr>
            <w:r>
              <w:rPr>
                <w:rFonts w:ascii="Arial" w:hAnsi="Arial" w:cs="Arial"/>
                <w:sz w:val="16"/>
                <w:szCs w:val="16"/>
              </w:rPr>
              <w:t>Energy Savings</w:t>
            </w:r>
          </w:p>
        </w:tc>
        <w:tc>
          <w:tcPr>
            <w:tcW w:w="1141" w:type="dxa"/>
            <w:tcBorders>
              <w:top w:val="single" w:sz="4" w:space="0" w:color="auto"/>
              <w:left w:val="single" w:sz="4" w:space="0" w:color="auto"/>
              <w:bottom w:val="single" w:sz="4" w:space="0" w:color="auto"/>
              <w:right w:val="single" w:sz="4" w:space="0" w:color="auto"/>
            </w:tcBorders>
            <w:vAlign w:val="center"/>
          </w:tcPr>
          <w:p w14:paraId="6F2EEBC7" w14:textId="77777777" w:rsidR="00165E9D" w:rsidRDefault="00165E9D" w:rsidP="00165E9D">
            <w:pPr>
              <w:spacing w:beforeLines="40" w:before="96" w:afterLines="40" w:after="96" w:line="240" w:lineRule="auto"/>
              <w:jc w:val="center"/>
              <w:rPr>
                <w:rFonts w:ascii="Arial" w:hAnsi="Arial" w:cs="Arial"/>
                <w:sz w:val="16"/>
                <w:szCs w:val="16"/>
              </w:rPr>
            </w:pPr>
            <w:r>
              <w:rPr>
                <w:rFonts w:ascii="Arial" w:hAnsi="Arial" w:cs="Arial"/>
                <w:sz w:val="16"/>
                <w:szCs w:val="16"/>
              </w:rPr>
              <w:t>Energy performance improvement (%)</w:t>
            </w:r>
          </w:p>
        </w:tc>
        <w:tc>
          <w:tcPr>
            <w:tcW w:w="1049" w:type="dxa"/>
            <w:tcBorders>
              <w:top w:val="single" w:sz="4" w:space="0" w:color="auto"/>
              <w:left w:val="single" w:sz="4" w:space="0" w:color="auto"/>
              <w:bottom w:val="single" w:sz="4" w:space="0" w:color="auto"/>
              <w:right w:val="single" w:sz="4" w:space="0" w:color="auto"/>
            </w:tcBorders>
            <w:vAlign w:val="center"/>
          </w:tcPr>
          <w:p w14:paraId="761830E5" w14:textId="54CCC1EF"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0095169D"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61EEBD68" w14:textId="77777777" w:rsidR="00165E9D" w:rsidRPr="0048062E"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Overall Facility</w:t>
            </w:r>
          </w:p>
        </w:tc>
        <w:tc>
          <w:tcPr>
            <w:tcW w:w="846" w:type="dxa"/>
            <w:tcBorders>
              <w:top w:val="single" w:sz="4" w:space="0" w:color="auto"/>
              <w:left w:val="single" w:sz="4" w:space="0" w:color="auto"/>
              <w:bottom w:val="single" w:sz="4" w:space="0" w:color="auto"/>
              <w:right w:val="single" w:sz="4" w:space="0" w:color="auto"/>
            </w:tcBorders>
            <w:vAlign w:val="center"/>
          </w:tcPr>
          <w:p w14:paraId="1EE53339"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59EACF86"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20281BE7"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3DC326B0"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02B00981"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36694BFE" w14:textId="4E38D85F"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4CB44190"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72912627" w14:textId="77777777" w:rsidR="00165E9D" w:rsidRPr="0048062E"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1</w:t>
            </w:r>
          </w:p>
        </w:tc>
        <w:tc>
          <w:tcPr>
            <w:tcW w:w="846" w:type="dxa"/>
            <w:tcBorders>
              <w:top w:val="single" w:sz="4" w:space="0" w:color="auto"/>
              <w:left w:val="single" w:sz="4" w:space="0" w:color="auto"/>
              <w:bottom w:val="single" w:sz="4" w:space="0" w:color="auto"/>
              <w:right w:val="single" w:sz="4" w:space="0" w:color="auto"/>
            </w:tcBorders>
            <w:vAlign w:val="center"/>
          </w:tcPr>
          <w:p w14:paraId="45718AF3"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2FEC5722"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18D77870"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1D34264C"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74AE01A1"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52817D64" w14:textId="75D19996"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77427FFF"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3A442228" w14:textId="77777777" w:rsidR="00165E9D" w:rsidRPr="0048062E"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2</w:t>
            </w:r>
          </w:p>
        </w:tc>
        <w:tc>
          <w:tcPr>
            <w:tcW w:w="846" w:type="dxa"/>
            <w:tcBorders>
              <w:top w:val="single" w:sz="4" w:space="0" w:color="auto"/>
              <w:left w:val="single" w:sz="4" w:space="0" w:color="auto"/>
              <w:bottom w:val="single" w:sz="4" w:space="0" w:color="auto"/>
              <w:right w:val="single" w:sz="4" w:space="0" w:color="auto"/>
            </w:tcBorders>
            <w:vAlign w:val="center"/>
          </w:tcPr>
          <w:p w14:paraId="62DF2123"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250715EE"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1BE1199D"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25A060D2"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14AF2864"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1EAD3E7A" w14:textId="04FE10F9"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0DC27AE3"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4D3543E2" w14:textId="77777777" w:rsidR="00165E9D"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2</w:t>
            </w:r>
          </w:p>
        </w:tc>
        <w:tc>
          <w:tcPr>
            <w:tcW w:w="846" w:type="dxa"/>
            <w:tcBorders>
              <w:top w:val="single" w:sz="4" w:space="0" w:color="auto"/>
              <w:left w:val="single" w:sz="4" w:space="0" w:color="auto"/>
              <w:bottom w:val="single" w:sz="4" w:space="0" w:color="auto"/>
              <w:right w:val="single" w:sz="4" w:space="0" w:color="auto"/>
            </w:tcBorders>
            <w:vAlign w:val="center"/>
          </w:tcPr>
          <w:p w14:paraId="0F7A24D3"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5BE35F75"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3CD1FD2C"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5EEA4983"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5D132032"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41C716CC" w14:textId="21DDCF24"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19E1D93A"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78F103B8" w14:textId="77777777" w:rsidR="00165E9D"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3</w:t>
            </w:r>
          </w:p>
        </w:tc>
        <w:tc>
          <w:tcPr>
            <w:tcW w:w="846" w:type="dxa"/>
            <w:tcBorders>
              <w:top w:val="single" w:sz="4" w:space="0" w:color="auto"/>
              <w:left w:val="single" w:sz="4" w:space="0" w:color="auto"/>
              <w:bottom w:val="single" w:sz="4" w:space="0" w:color="auto"/>
              <w:right w:val="single" w:sz="4" w:space="0" w:color="auto"/>
            </w:tcBorders>
            <w:vAlign w:val="center"/>
          </w:tcPr>
          <w:p w14:paraId="51289EF5"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1E66F340"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6E8E9459"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6EDDF9B7"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54C1C429"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288F3B47" w14:textId="556051C6"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1124886A"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08575606" w14:textId="77777777" w:rsidR="00165E9D"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4</w:t>
            </w:r>
          </w:p>
        </w:tc>
        <w:tc>
          <w:tcPr>
            <w:tcW w:w="846" w:type="dxa"/>
            <w:tcBorders>
              <w:top w:val="single" w:sz="4" w:space="0" w:color="auto"/>
              <w:left w:val="single" w:sz="4" w:space="0" w:color="auto"/>
              <w:bottom w:val="single" w:sz="4" w:space="0" w:color="auto"/>
              <w:right w:val="single" w:sz="4" w:space="0" w:color="auto"/>
            </w:tcBorders>
            <w:vAlign w:val="center"/>
          </w:tcPr>
          <w:p w14:paraId="198BD064"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23C64640"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0881C864"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75F14E36"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45525C10"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03A2A1C4" w14:textId="6B2DED85" w:rsidR="00165E9D" w:rsidRPr="0048062E" w:rsidRDefault="00165E9D" w:rsidP="00165E9D">
            <w:pPr>
              <w:spacing w:beforeLines="40" w:before="96" w:afterLines="40" w:after="96" w:line="240" w:lineRule="auto"/>
              <w:jc w:val="center"/>
              <w:rPr>
                <w:rFonts w:ascii="Arial" w:hAnsi="Arial" w:cs="Arial"/>
                <w:sz w:val="16"/>
                <w:szCs w:val="16"/>
              </w:rPr>
            </w:pPr>
          </w:p>
        </w:tc>
      </w:tr>
      <w:tr w:rsidR="00165E9D" w:rsidRPr="0048062E" w14:paraId="47D8283A" w14:textId="77777777" w:rsidTr="00165E9D">
        <w:tc>
          <w:tcPr>
            <w:tcW w:w="2848" w:type="dxa"/>
            <w:tcBorders>
              <w:top w:val="single" w:sz="4" w:space="0" w:color="auto"/>
              <w:left w:val="single" w:sz="4" w:space="0" w:color="auto"/>
              <w:bottom w:val="single" w:sz="4" w:space="0" w:color="auto"/>
              <w:right w:val="single" w:sz="4" w:space="0" w:color="auto"/>
            </w:tcBorders>
            <w:vAlign w:val="center"/>
          </w:tcPr>
          <w:p w14:paraId="4192046D" w14:textId="77777777" w:rsidR="00165E9D" w:rsidRDefault="00165E9D" w:rsidP="00165E9D">
            <w:pPr>
              <w:spacing w:beforeLines="40" w:before="96" w:afterLines="40" w:after="96" w:line="240" w:lineRule="auto"/>
              <w:rPr>
                <w:rFonts w:ascii="Arial" w:hAnsi="Arial" w:cs="Arial"/>
                <w:sz w:val="16"/>
                <w:szCs w:val="16"/>
              </w:rPr>
            </w:pPr>
            <w:r>
              <w:rPr>
                <w:rFonts w:ascii="Arial" w:hAnsi="Arial" w:cs="Arial"/>
                <w:sz w:val="16"/>
                <w:szCs w:val="16"/>
              </w:rPr>
              <w:t>SEU 5</w:t>
            </w:r>
          </w:p>
        </w:tc>
        <w:tc>
          <w:tcPr>
            <w:tcW w:w="846" w:type="dxa"/>
            <w:tcBorders>
              <w:top w:val="single" w:sz="4" w:space="0" w:color="auto"/>
              <w:left w:val="single" w:sz="4" w:space="0" w:color="auto"/>
              <w:bottom w:val="single" w:sz="4" w:space="0" w:color="auto"/>
              <w:right w:val="single" w:sz="4" w:space="0" w:color="auto"/>
            </w:tcBorders>
            <w:vAlign w:val="center"/>
          </w:tcPr>
          <w:p w14:paraId="19C0B319"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86" w:type="dxa"/>
            <w:tcBorders>
              <w:top w:val="single" w:sz="4" w:space="0" w:color="auto"/>
              <w:left w:val="single" w:sz="4" w:space="0" w:color="auto"/>
              <w:bottom w:val="single" w:sz="4" w:space="0" w:color="auto"/>
              <w:right w:val="single" w:sz="4" w:space="0" w:color="auto"/>
            </w:tcBorders>
            <w:vAlign w:val="center"/>
          </w:tcPr>
          <w:p w14:paraId="10A39655"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845" w:type="dxa"/>
            <w:tcBorders>
              <w:top w:val="single" w:sz="4" w:space="0" w:color="auto"/>
              <w:left w:val="single" w:sz="4" w:space="0" w:color="auto"/>
              <w:bottom w:val="single" w:sz="4" w:space="0" w:color="auto"/>
              <w:right w:val="single" w:sz="4" w:space="0" w:color="auto"/>
            </w:tcBorders>
            <w:vAlign w:val="center"/>
          </w:tcPr>
          <w:p w14:paraId="6ECB02F5"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934" w:type="dxa"/>
            <w:tcBorders>
              <w:top w:val="single" w:sz="4" w:space="0" w:color="auto"/>
              <w:left w:val="single" w:sz="4" w:space="0" w:color="auto"/>
              <w:bottom w:val="single" w:sz="4" w:space="0" w:color="auto"/>
              <w:right w:val="single" w:sz="4" w:space="0" w:color="auto"/>
            </w:tcBorders>
            <w:vAlign w:val="center"/>
          </w:tcPr>
          <w:p w14:paraId="7D3D672A"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141" w:type="dxa"/>
            <w:tcBorders>
              <w:top w:val="single" w:sz="4" w:space="0" w:color="auto"/>
              <w:left w:val="single" w:sz="4" w:space="0" w:color="auto"/>
              <w:bottom w:val="single" w:sz="4" w:space="0" w:color="auto"/>
              <w:right w:val="single" w:sz="4" w:space="0" w:color="auto"/>
            </w:tcBorders>
            <w:vAlign w:val="center"/>
          </w:tcPr>
          <w:p w14:paraId="37ABA155" w14:textId="77777777" w:rsidR="00165E9D" w:rsidRPr="0048062E" w:rsidRDefault="00165E9D" w:rsidP="00165E9D">
            <w:pPr>
              <w:spacing w:beforeLines="40" w:before="96" w:afterLines="40" w:after="96" w:line="240" w:lineRule="auto"/>
              <w:jc w:val="center"/>
              <w:rPr>
                <w:rFonts w:ascii="Arial" w:hAnsi="Arial" w:cs="Arial"/>
                <w:sz w:val="16"/>
                <w:szCs w:val="16"/>
              </w:rPr>
            </w:pPr>
            <w:r w:rsidRPr="006C2DE4">
              <w:rPr>
                <w:rFonts w:ascii="Arial" w:hAnsi="Arial" w:cs="Arial"/>
                <w:sz w:val="16"/>
                <w:szCs w:val="16"/>
              </w:rPr>
              <w:fldChar w:fldCharType="begin">
                <w:ffData>
                  <w:name w:val="Text22"/>
                  <w:enabled/>
                  <w:calcOnExit w:val="0"/>
                  <w:textInput/>
                </w:ffData>
              </w:fldChar>
            </w:r>
            <w:r w:rsidRPr="006C2DE4">
              <w:rPr>
                <w:rFonts w:ascii="Arial" w:hAnsi="Arial" w:cs="Arial"/>
                <w:sz w:val="16"/>
                <w:szCs w:val="16"/>
              </w:rPr>
              <w:instrText xml:space="preserve"> FORMTEXT </w:instrText>
            </w:r>
            <w:r w:rsidRPr="006C2DE4">
              <w:rPr>
                <w:rFonts w:ascii="Arial" w:hAnsi="Arial" w:cs="Arial"/>
                <w:sz w:val="16"/>
                <w:szCs w:val="16"/>
              </w:rPr>
            </w:r>
            <w:r w:rsidRPr="006C2DE4">
              <w:rPr>
                <w:rFonts w:ascii="Arial" w:hAnsi="Arial" w:cs="Arial"/>
                <w:sz w:val="16"/>
                <w:szCs w:val="16"/>
              </w:rPr>
              <w:fldChar w:fldCharType="separate"/>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noProof/>
                <w:sz w:val="16"/>
                <w:szCs w:val="16"/>
              </w:rPr>
              <w:t> </w:t>
            </w:r>
            <w:r w:rsidRPr="006C2DE4">
              <w:rPr>
                <w:rFonts w:ascii="Arial" w:hAnsi="Arial" w:cs="Arial"/>
                <w:sz w:val="16"/>
                <w:szCs w:val="16"/>
              </w:rPr>
              <w:fldChar w:fldCharType="end"/>
            </w:r>
          </w:p>
        </w:tc>
        <w:tc>
          <w:tcPr>
            <w:tcW w:w="1049" w:type="dxa"/>
            <w:tcBorders>
              <w:top w:val="single" w:sz="4" w:space="0" w:color="auto"/>
              <w:left w:val="single" w:sz="4" w:space="0" w:color="auto"/>
              <w:bottom w:val="single" w:sz="4" w:space="0" w:color="auto"/>
              <w:right w:val="single" w:sz="4" w:space="0" w:color="auto"/>
            </w:tcBorders>
            <w:vAlign w:val="center"/>
          </w:tcPr>
          <w:p w14:paraId="4E590315" w14:textId="5BFE0A4A" w:rsidR="00165E9D" w:rsidRPr="0048062E" w:rsidRDefault="00165E9D" w:rsidP="00165E9D">
            <w:pPr>
              <w:spacing w:beforeLines="40" w:before="96" w:afterLines="40" w:after="96" w:line="240" w:lineRule="auto"/>
              <w:jc w:val="center"/>
              <w:rPr>
                <w:rFonts w:ascii="Arial" w:hAnsi="Arial" w:cs="Arial"/>
                <w:sz w:val="16"/>
                <w:szCs w:val="16"/>
              </w:rPr>
            </w:pPr>
          </w:p>
        </w:tc>
      </w:tr>
    </w:tbl>
    <w:p w14:paraId="4A8C0C9D" w14:textId="77777777" w:rsidR="00165E9D" w:rsidRDefault="00165E9D" w:rsidP="00165E9D">
      <w:pPr>
        <w:spacing w:line="240" w:lineRule="auto"/>
        <w:ind w:right="-720"/>
        <w:rPr>
          <w:rFonts w:ascii="Arial" w:hAnsi="Arial" w:cs="Arial"/>
          <w:color w:val="000000" w:themeColor="text1"/>
          <w:sz w:val="20"/>
        </w:rPr>
      </w:pPr>
    </w:p>
    <w:p w14:paraId="79CCD12D" w14:textId="77777777" w:rsidR="00165E9D" w:rsidRDefault="00165E9D" w:rsidP="00FB3CE3">
      <w:pPr>
        <w:spacing w:line="240" w:lineRule="auto"/>
        <w:ind w:left="-810" w:right="-720"/>
        <w:rPr>
          <w:rFonts w:ascii="Arial" w:hAnsi="Arial" w:cs="Arial"/>
          <w:color w:val="000000" w:themeColor="text1"/>
          <w:sz w:val="20"/>
          <w:u w:val="single"/>
        </w:rPr>
      </w:pPr>
      <w:r w:rsidRPr="0096758D">
        <w:rPr>
          <w:rFonts w:ascii="Arial" w:hAnsi="Arial" w:cs="Arial"/>
          <w:noProof/>
          <w:color w:val="616161"/>
          <w:sz w:val="20"/>
          <w:u w:val="single"/>
        </w:rPr>
        <mc:AlternateContent>
          <mc:Choice Requires="wps">
            <w:drawing>
              <wp:anchor distT="45720" distB="45720" distL="114300" distR="114300" simplePos="0" relativeHeight="251667456" behindDoc="1" locked="0" layoutInCell="1" allowOverlap="1" wp14:anchorId="1408DC98" wp14:editId="33036473">
                <wp:simplePos x="0" y="0"/>
                <wp:positionH relativeFrom="margin">
                  <wp:align>left</wp:align>
                </wp:positionH>
                <wp:positionV relativeFrom="paragraph">
                  <wp:posOffset>288925</wp:posOffset>
                </wp:positionV>
                <wp:extent cx="5486400" cy="3029585"/>
                <wp:effectExtent l="38100" t="38100" r="95250" b="9461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302958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749C4AE" w14:textId="77777777" w:rsidR="00FB3CE3" w:rsidRPr="00FB3CE3" w:rsidRDefault="00FB3CE3" w:rsidP="00FB3CE3">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Pr="00FB3CE3">
                              <w:rPr>
                                <w:rFonts w:eastAsia="Times New Roman" w:cs="Times New Roman"/>
                                <w:color w:val="FFFFFF" w:themeColor="background1"/>
                              </w:rPr>
                              <w:t>Calculate Energy Savings</w:t>
                            </w:r>
                          </w:p>
                          <w:p w14:paraId="23B329F3"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are a Better Plants partner, the next recommended approach is to submit your most recent Better Plants Annual Report with data reported at the facility level</w:t>
                            </w:r>
                          </w:p>
                          <w:p w14:paraId="2B5D0C6C"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are a Better Buildings Challenge partner, the next recommended approach is to submit your most recent Better Buildings Challenge Annual Report with data reported at the facility level</w:t>
                            </w:r>
                          </w:p>
                          <w:p w14:paraId="2BB2471B"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use Portfolio Manager, use the 50001 Ready Energy Report for Portfolio Manager report template</w:t>
                            </w:r>
                          </w:p>
                          <w:p w14:paraId="715E8F4D"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none of those options will suffice, then the 50001 Ready Energy Consumption Baseline Report can be used to show just initial energy performance measurement, but not calculate a change yet. This would only be valid for an initial 50001 Ready recognition, not a renewal.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408DC98" id="_x0000_t202" coordsize="21600,21600" o:spt="202" path="m,l,21600r21600,l21600,xe">
                <v:stroke joinstyle="miter"/>
                <v:path gradientshapeok="t" o:connecttype="rect"/>
              </v:shapetype>
              <v:shape id="Text Box 3" o:spid="_x0000_s1026" type="#_x0000_t202" style="position:absolute;left:0;text-align:left;margin-left:0;margin-top:22.75pt;width:6in;height:238.55pt;z-index:-2516490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" fillcolor="#828dc5" stroked="f">
                <v:shadow on="t" color="black" opacity="26214f" origin="-.5,-.5" offset=".74836mm,.74836mm"/>
                <v:textbox>
                  <w:txbxContent>
                    <w:p w14:paraId="0749C4AE" w14:textId="77777777" w:rsidR="00FB3CE3" w:rsidRPr="00FB3CE3" w:rsidRDefault="00FB3CE3" w:rsidP="00FB3CE3">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Pr="00FB3CE3">
                        <w:rPr>
                          <w:rFonts w:eastAsia="Times New Roman" w:cs="Times New Roman"/>
                          <w:color w:val="FFFFFF" w:themeColor="background1"/>
                        </w:rPr>
                        <w:t>Calculate Energy Savings</w:t>
                      </w:r>
                    </w:p>
                    <w:p w14:paraId="23B329F3"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are a Better Plants partner, the next recommended approach is to submit your most recent Better Plants Annual Report with data reported at the facility level</w:t>
                      </w:r>
                    </w:p>
                    <w:p w14:paraId="2B5D0C6C"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are a Better Buildings Challenge partner, the next recommended approach is to submit your most recent Better Buildings Challenge Annual Report with data reported at the facility level</w:t>
                      </w:r>
                    </w:p>
                    <w:p w14:paraId="2BB2471B"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you use Portfolio Manager, use the 50001 Ready Energy Report for Portfolio Manager report template</w:t>
                      </w:r>
                    </w:p>
                    <w:p w14:paraId="715E8F4D" w14:textId="77777777" w:rsidR="00FB3CE3" w:rsidRPr="00FB3CE3" w:rsidRDefault="00FB3CE3" w:rsidP="00FB3CE3">
                      <w:pPr>
                        <w:pStyle w:val="ListParagraph"/>
                        <w:numPr>
                          <w:ilvl w:val="0"/>
                          <w:numId w:val="10"/>
                        </w:numPr>
                        <w:spacing w:line="240" w:lineRule="auto"/>
                        <w:rPr>
                          <w:rFonts w:eastAsia="Times New Roman" w:cs="Times New Roman"/>
                          <w:color w:val="FFFFFF" w:themeColor="background1"/>
                        </w:rPr>
                      </w:pPr>
                      <w:r w:rsidRPr="00FB3CE3">
                        <w:rPr>
                          <w:rFonts w:eastAsia="Times New Roman" w:cs="Times New Roman"/>
                          <w:color w:val="FFFFFF" w:themeColor="background1"/>
                        </w:rPr>
                        <w:t>If none of those options will suffice, then the 50001 Ready Energy Consumption Baseline Report can be used to show just initial energy performance measurement, but not calculate a change yet. This would only be valid for an initial 50001 Ready recognition, not a renewal.</w:t>
                      </w:r>
                    </w:p>
                  </w:txbxContent>
                </v:textbox>
                <w10:wrap type="topAndBottom" anchorx="margin"/>
              </v:shape>
            </w:pict>
          </mc:Fallback>
        </mc:AlternateContent>
      </w:r>
    </w:p>
    <w:p w14:paraId="5527B2CB" w14:textId="77777777" w:rsidR="00E648FD" w:rsidRDefault="00E648FD" w:rsidP="00FB3CE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2033445876"/>
        <w:placeholder>
          <w:docPart w:val="DefaultPlaceholder_1081868574"/>
        </w:placeholder>
        <w:showingPlcHdr/>
      </w:sdtPr>
      <w:sdtEndPr/>
      <w:sdtContent>
        <w:p w14:paraId="6F030875" w14:textId="0B92AB53" w:rsidR="00E648FD" w:rsidRDefault="0069759E"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4C35241" w14:textId="24374133" w:rsidR="00D51A95" w:rsidRDefault="00D51A95" w:rsidP="00CC338E">
      <w:pPr>
        <w:spacing w:line="240" w:lineRule="auto"/>
        <w:ind w:left="-806" w:right="-720"/>
        <w:rPr>
          <w:rFonts w:ascii="Arial" w:hAnsi="Arial" w:cs="Arial"/>
          <w:color w:val="000000" w:themeColor="text1"/>
          <w:sz w:val="20"/>
        </w:rPr>
      </w:pPr>
    </w:p>
    <w:p w14:paraId="3065A306"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462BE3B0"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1CCAADDB"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267C7903"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2"/>
          <w:szCs w:val="12"/>
        </w:rPr>
      </w:pPr>
    </w:p>
    <w:p w14:paraId="103B2263"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47A2EF94" w14:textId="77777777" w:rsidR="00D51A95" w:rsidRPr="00C520DA" w:rsidRDefault="00D51A95" w:rsidP="00D51A95">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76CCF87C" w14:textId="77777777" w:rsidR="00D51A95" w:rsidRPr="00E648FD" w:rsidRDefault="00D51A95" w:rsidP="00CC338E">
      <w:pPr>
        <w:spacing w:line="240" w:lineRule="auto"/>
        <w:ind w:left="-806" w:right="-720"/>
        <w:rPr>
          <w:rFonts w:ascii="Arial" w:hAnsi="Arial" w:cs="Arial"/>
          <w:color w:val="000000" w:themeColor="text1"/>
          <w:sz w:val="20"/>
        </w:rPr>
      </w:pPr>
      <w:bookmarkStart w:id="0" w:name="_GoBack"/>
      <w:bookmarkEnd w:id="0"/>
    </w:p>
    <w:sectPr w:rsidR="00D51A95" w:rsidRPr="00E648FD"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9A24D" w14:textId="77777777" w:rsidR="00E71775" w:rsidRDefault="00E71775" w:rsidP="00EF3EDC">
      <w:pPr>
        <w:spacing w:after="0" w:line="240" w:lineRule="auto"/>
      </w:pPr>
      <w:r>
        <w:separator/>
      </w:r>
    </w:p>
  </w:endnote>
  <w:endnote w:type="continuationSeparator" w:id="0">
    <w:p w14:paraId="7E60B35A" w14:textId="77777777" w:rsidR="00E71775" w:rsidRDefault="00E7177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AF9B9A2"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36281"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B9E3D26" w14:textId="77777777"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65E9D">
          <w:rPr>
            <w:rStyle w:val="PageNumber"/>
            <w:noProof/>
          </w:rPr>
          <w:t>2</w:t>
        </w:r>
        <w:r>
          <w:rPr>
            <w:rStyle w:val="PageNumber"/>
          </w:rPr>
          <w:fldChar w:fldCharType="end"/>
        </w:r>
      </w:p>
    </w:sdtContent>
  </w:sdt>
  <w:p w14:paraId="309CC2BB" w14:textId="5516F43E" w:rsidR="00F242EC" w:rsidRDefault="008657A0" w:rsidP="00EF3EDC">
    <w:pPr>
      <w:pStyle w:val="Footer"/>
      <w:ind w:right="360"/>
    </w:pPr>
    <w:r>
      <w:rPr>
        <w:noProof/>
      </w:rPr>
      <mc:AlternateContent>
        <mc:Choice Requires="wps">
          <w:drawing>
            <wp:anchor distT="0" distB="0" distL="114300" distR="114300" simplePos="0" relativeHeight="251671552" behindDoc="0" locked="0" layoutInCell="1" allowOverlap="1" wp14:anchorId="6CA4CB95" wp14:editId="587A5E38">
              <wp:simplePos x="0" y="0"/>
              <wp:positionH relativeFrom="column">
                <wp:posOffset>-706120</wp:posOffset>
              </wp:positionH>
              <wp:positionV relativeFrom="paragraph">
                <wp:posOffset>433705</wp:posOffset>
              </wp:positionV>
              <wp:extent cx="3009900" cy="4000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060A179F" w14:textId="77777777" w:rsidR="008657A0" w:rsidRPr="00143054" w:rsidRDefault="008657A0"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C38ECE0" w14:textId="77777777" w:rsidR="008657A0" w:rsidRDefault="008657A0" w:rsidP="008657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4CB95" id="_x0000_t202" coordsize="21600,21600" o:spt="202" path="m,l,21600r21600,l21600,xe">
              <v:stroke joinstyle="miter"/>
              <v:path gradientshapeok="t" o:connecttype="rect"/>
            </v:shapetype>
            <v:shape id="Text Box 1" o:spid="_x0000_s1029" type="#_x0000_t202" style="position:absolute;margin-left:-55.6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" fillcolor="white [3201]" stroked="f" strokeweight=".5pt">
              <v:textbox>
                <w:txbxContent>
                  <w:p w14:paraId="060A179F" w14:textId="77777777" w:rsidR="008657A0" w:rsidRPr="00143054" w:rsidRDefault="008657A0"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C38ECE0" w14:textId="77777777" w:rsidR="008657A0" w:rsidRDefault="008657A0" w:rsidP="008657A0"/>
                </w:txbxContent>
              </v:textbox>
            </v:shape>
          </w:pict>
        </mc:Fallback>
      </mc:AlternateContent>
    </w:r>
    <w:r w:rsidR="006F76CD">
      <w:rPr>
        <w:noProof/>
      </w:rPr>
      <w:drawing>
        <wp:anchor distT="0" distB="0" distL="114300" distR="114300" simplePos="0" relativeHeight="251669504" behindDoc="0" locked="0" layoutInCell="1" allowOverlap="1" wp14:anchorId="0EE2EEDB" wp14:editId="32F1F4D1">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FB21C" w14:textId="77777777" w:rsidR="008657A0" w:rsidRDefault="0086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4DFDF" w14:textId="77777777" w:rsidR="00E71775" w:rsidRDefault="00E71775" w:rsidP="00EF3EDC">
      <w:pPr>
        <w:spacing w:after="0" w:line="240" w:lineRule="auto"/>
      </w:pPr>
      <w:r>
        <w:separator/>
      </w:r>
    </w:p>
  </w:footnote>
  <w:footnote w:type="continuationSeparator" w:id="0">
    <w:p w14:paraId="3177FB15" w14:textId="77777777" w:rsidR="00E71775" w:rsidRDefault="00E7177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E0F0E" w14:textId="77777777" w:rsidR="008657A0" w:rsidRDefault="008657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3353" w14:textId="77777777" w:rsidR="00F242EC" w:rsidRDefault="006F76CD">
    <w:pPr>
      <w:pStyle w:val="Header"/>
    </w:pPr>
    <w:r w:rsidRPr="00EF3EDC">
      <w:rPr>
        <w:noProof/>
      </w:rPr>
      <w:drawing>
        <wp:anchor distT="0" distB="0" distL="114300" distR="114300" simplePos="0" relativeHeight="251667456" behindDoc="0" locked="0" layoutInCell="1" allowOverlap="1" wp14:anchorId="30ADFAD6" wp14:editId="1D7CA5FB">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51F8578A" wp14:editId="3F431C4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C35D47C"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p w14:paraId="3C1D6986" w14:textId="77777777" w:rsidR="00F242EC" w:rsidRPr="00FB15B5" w:rsidRDefault="00F242E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8578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2C35D47C"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p w14:paraId="3C1D6986" w14:textId="77777777" w:rsidR="00F242EC" w:rsidRPr="00FB15B5" w:rsidRDefault="00F242EC" w:rsidP="00EF3EDC">
                    <w:pPr>
                      <w:jc w:val="center"/>
                      <w:rPr>
                        <w:rFonts w:ascii="Arial" w:hAnsi="Arial" w:cs="Arial"/>
                        <w:color w:val="FFFFFF" w:themeColor="background1"/>
                        <w:sz w:val="72"/>
                      </w:rPr>
                    </w:pP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0CA1A7A4" wp14:editId="30A9071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65E9127" w14:textId="77777777" w:rsidR="00F242EC" w:rsidRPr="00165E9D" w:rsidRDefault="00165E9D"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 xml:space="preserve">Task 24: </w:t>
                          </w:r>
                          <w:r w:rsidR="00F242EC" w:rsidRPr="00165E9D">
                            <w:rPr>
                              <w:rFonts w:ascii="Arial" w:eastAsia="Times New Roman" w:hAnsi="Arial" w:cs="Arial"/>
                              <w:color w:val="FFFFFF" w:themeColor="background1"/>
                              <w:sz w:val="32"/>
                              <w:szCs w:val="32"/>
                            </w:rPr>
                            <w:t>Calculate Energy Savings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1A7A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65E9127" w14:textId="77777777" w:rsidR="00F242EC" w:rsidRPr="00165E9D" w:rsidRDefault="00165E9D"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 xml:space="preserve">Task 24: </w:t>
                    </w:r>
                    <w:r w:rsidR="00F242EC" w:rsidRPr="00165E9D">
                      <w:rPr>
                        <w:rFonts w:ascii="Arial" w:eastAsia="Times New Roman" w:hAnsi="Arial" w:cs="Arial"/>
                        <w:color w:val="FFFFFF" w:themeColor="background1"/>
                        <w:sz w:val="32"/>
                        <w:szCs w:val="32"/>
                      </w:rPr>
                      <w:t>Calculate Energy Savings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5F82906A" wp14:editId="2EEB2B25">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7E31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FCDA4" w14:textId="77777777" w:rsidR="008657A0" w:rsidRDefault="008657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9"/>
  </w:num>
  <w:num w:numId="5">
    <w:abstractNumId w:val="8"/>
  </w:num>
  <w:num w:numId="6">
    <w:abstractNumId w:val="0"/>
  </w:num>
  <w:num w:numId="7">
    <w:abstractNumId w:val="5"/>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950D9"/>
    <w:rsid w:val="000D0E58"/>
    <w:rsid w:val="00161B6C"/>
    <w:rsid w:val="00165E9D"/>
    <w:rsid w:val="001967DC"/>
    <w:rsid w:val="001D1F88"/>
    <w:rsid w:val="001E0DEE"/>
    <w:rsid w:val="001E3DFA"/>
    <w:rsid w:val="0022080B"/>
    <w:rsid w:val="00236F99"/>
    <w:rsid w:val="00290553"/>
    <w:rsid w:val="00294677"/>
    <w:rsid w:val="002D239F"/>
    <w:rsid w:val="00325C4F"/>
    <w:rsid w:val="0033148E"/>
    <w:rsid w:val="00352954"/>
    <w:rsid w:val="00383573"/>
    <w:rsid w:val="00440953"/>
    <w:rsid w:val="004A1E20"/>
    <w:rsid w:val="004A4F34"/>
    <w:rsid w:val="00531176"/>
    <w:rsid w:val="00533B74"/>
    <w:rsid w:val="00581D85"/>
    <w:rsid w:val="005A3EDA"/>
    <w:rsid w:val="005C7A2C"/>
    <w:rsid w:val="005D79E6"/>
    <w:rsid w:val="00630FED"/>
    <w:rsid w:val="00647EC0"/>
    <w:rsid w:val="00667917"/>
    <w:rsid w:val="006917CA"/>
    <w:rsid w:val="0069759E"/>
    <w:rsid w:val="006F4E03"/>
    <w:rsid w:val="006F76CD"/>
    <w:rsid w:val="0072799B"/>
    <w:rsid w:val="00741681"/>
    <w:rsid w:val="00782517"/>
    <w:rsid w:val="00784C2A"/>
    <w:rsid w:val="007C17FB"/>
    <w:rsid w:val="007F2ADF"/>
    <w:rsid w:val="007F2B29"/>
    <w:rsid w:val="00803E87"/>
    <w:rsid w:val="0081306A"/>
    <w:rsid w:val="00862E7C"/>
    <w:rsid w:val="008657A0"/>
    <w:rsid w:val="00880A05"/>
    <w:rsid w:val="008B2B7E"/>
    <w:rsid w:val="009106B4"/>
    <w:rsid w:val="00955E1F"/>
    <w:rsid w:val="009E1020"/>
    <w:rsid w:val="00A52347"/>
    <w:rsid w:val="00A61D8B"/>
    <w:rsid w:val="00AA1CE0"/>
    <w:rsid w:val="00AB149E"/>
    <w:rsid w:val="00AD5201"/>
    <w:rsid w:val="00B129EF"/>
    <w:rsid w:val="00B37347"/>
    <w:rsid w:val="00B50405"/>
    <w:rsid w:val="00B6727B"/>
    <w:rsid w:val="00B92921"/>
    <w:rsid w:val="00BC0F00"/>
    <w:rsid w:val="00BD7252"/>
    <w:rsid w:val="00CC338E"/>
    <w:rsid w:val="00CE4A5F"/>
    <w:rsid w:val="00D05600"/>
    <w:rsid w:val="00D51A95"/>
    <w:rsid w:val="00DB1AC7"/>
    <w:rsid w:val="00DC64BC"/>
    <w:rsid w:val="00E54455"/>
    <w:rsid w:val="00E637F5"/>
    <w:rsid w:val="00E648FD"/>
    <w:rsid w:val="00E71775"/>
    <w:rsid w:val="00E72037"/>
    <w:rsid w:val="00E83150"/>
    <w:rsid w:val="00EF3EDC"/>
    <w:rsid w:val="00F242EC"/>
    <w:rsid w:val="00F573F6"/>
    <w:rsid w:val="00F774E4"/>
    <w:rsid w:val="00FB1EF1"/>
    <w:rsid w:val="00FB3CE3"/>
    <w:rsid w:val="00FB727E"/>
    <w:rsid w:val="00FC0C29"/>
    <w:rsid w:val="00FC3F95"/>
    <w:rsid w:val="00FD060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7FA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40115"/>
    <w:rsid w:val="00197FA1"/>
    <w:rsid w:val="0021736F"/>
    <w:rsid w:val="00350331"/>
    <w:rsid w:val="00483EA0"/>
    <w:rsid w:val="004A01D8"/>
    <w:rsid w:val="004E1902"/>
    <w:rsid w:val="005301CA"/>
    <w:rsid w:val="00533C62"/>
    <w:rsid w:val="005E6971"/>
    <w:rsid w:val="00621B75"/>
    <w:rsid w:val="00663B56"/>
    <w:rsid w:val="00674D85"/>
    <w:rsid w:val="00703941"/>
    <w:rsid w:val="008D5773"/>
    <w:rsid w:val="008E4BBC"/>
    <w:rsid w:val="0099372D"/>
    <w:rsid w:val="00A921B7"/>
    <w:rsid w:val="00AD3BFD"/>
    <w:rsid w:val="00B00D31"/>
    <w:rsid w:val="00B36E95"/>
    <w:rsid w:val="00CD0FD8"/>
    <w:rsid w:val="00D04C1E"/>
    <w:rsid w:val="00DC5126"/>
    <w:rsid w:val="00E07B42"/>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21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2CF5-2A48-471B-9767-4C1EFC29F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6</cp:revision>
  <cp:lastPrinted>2018-10-09T18:41:00Z</cp:lastPrinted>
  <dcterms:created xsi:type="dcterms:W3CDTF">2019-08-15T18:41:00Z</dcterms:created>
  <dcterms:modified xsi:type="dcterms:W3CDTF">2019-09-16T12:59:00Z</dcterms:modified>
</cp:coreProperties>
</file>